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4012" w14:textId="77777777" w:rsidR="00F26800" w:rsidRPr="00F26800" w:rsidRDefault="00F26800" w:rsidP="00F26800">
      <w:proofErr w:type="spellStart"/>
      <w:r w:rsidRPr="00F26800">
        <w:t>Okx</w:t>
      </w:r>
      <w:proofErr w:type="spellEnd"/>
      <w:r w:rsidRPr="00F26800">
        <w:t xml:space="preserve"> </w:t>
      </w:r>
    </w:p>
    <w:p w14:paraId="7E18B778" w14:textId="77777777" w:rsidR="00F26800" w:rsidRPr="00F26800" w:rsidRDefault="00F26800" w:rsidP="00F26800"/>
    <w:p w14:paraId="15437AFF"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Short Introduction</w:t>
      </w:r>
    </w:p>
    <w:p w14:paraId="58D23A9D" w14:textId="77777777" w:rsidR="00F26800" w:rsidRPr="00F26800" w:rsidRDefault="00F26800" w:rsidP="00F26800">
      <w:r w:rsidRPr="00F26800">
        <w:rPr>
          <w:b/>
          <w:bCs/>
        </w:rPr>
        <w:t>OKX</w:t>
      </w:r>
      <w:r w:rsidRPr="00F26800">
        <w:t xml:space="preserve"> (formerly </w:t>
      </w:r>
      <w:proofErr w:type="spellStart"/>
      <w:r w:rsidRPr="00F26800">
        <w:t>OKEx</w:t>
      </w:r>
      <w:proofErr w:type="spellEnd"/>
      <w:r w:rsidRPr="00F26800">
        <w:t>) is a global cryptocurrency exchange founded in 2017 by Star Xu. It offers a wide range of services including spot trading, futures, margin trading, copy trading, staking, and more. OKX supports over 350 cryptocurrencies and operates in more than 100 countries, serving millions of users worldwide.</w:t>
      </w:r>
    </w:p>
    <w:p w14:paraId="141F78CC" w14:textId="77777777" w:rsidR="00F26800" w:rsidRPr="00F26800" w:rsidRDefault="00000000" w:rsidP="00F26800">
      <w:r>
        <w:pict w14:anchorId="2DB92BE7">
          <v:rect id="_x0000_i1025" style="width:468pt;height:1.5pt" o:hralign="center" o:hrstd="t" o:hr="t" fillcolor="#a0a0a0" stroked="f"/>
        </w:pict>
      </w:r>
    </w:p>
    <w:p w14:paraId="1669E2D5"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Minimum Deposit</w:t>
      </w:r>
    </w:p>
    <w:p w14:paraId="772FCC1C" w14:textId="1C181581" w:rsidR="00F26800" w:rsidRPr="00F26800" w:rsidRDefault="00F26800" w:rsidP="00F26800">
      <w:pPr>
        <w:numPr>
          <w:ilvl w:val="0"/>
          <w:numId w:val="1"/>
        </w:numPr>
      </w:pPr>
      <w:r w:rsidRPr="00F26800">
        <w:rPr>
          <w:b/>
          <w:bCs/>
        </w:rPr>
        <w:t>Cryptocurrency Deposits:</w:t>
      </w:r>
      <w:r w:rsidRPr="00F26800">
        <w:t xml:space="preserve"> Minimum deposit amounts vary by token. To find the specific minimum deposit for a particular cryptocurrency, visit the </w:t>
      </w:r>
    </w:p>
    <w:p w14:paraId="7FB639FD" w14:textId="3AB4C4FD" w:rsidR="00F26800" w:rsidRPr="00F26800" w:rsidRDefault="00F26800" w:rsidP="00F26800">
      <w:pPr>
        <w:numPr>
          <w:ilvl w:val="0"/>
          <w:numId w:val="1"/>
        </w:numPr>
      </w:pPr>
      <w:r w:rsidRPr="00F26800">
        <w:rPr>
          <w:b/>
          <w:bCs/>
        </w:rPr>
        <w:t>Fiat Deposits:</w:t>
      </w:r>
      <w:r w:rsidRPr="00F26800">
        <w:t xml:space="preserve"> Minimum amounts depend on the currency and payment method. For example, EUR deposits via SEPA have a minimum of €1, and AUD bank transfers have a minimum of A$0.01.</w:t>
      </w:r>
      <w:r w:rsidR="005C22ED" w:rsidRPr="00F26800">
        <w:t xml:space="preserve"> </w:t>
      </w:r>
    </w:p>
    <w:p w14:paraId="0CDBADCD" w14:textId="77777777" w:rsidR="00F26800" w:rsidRPr="00F26800" w:rsidRDefault="00000000" w:rsidP="00F26800">
      <w:r>
        <w:pict w14:anchorId="33D60A9F">
          <v:rect id="_x0000_i1026" style="width:468pt;height:1.5pt" o:hralign="center" o:hrstd="t" o:hr="t" fillcolor="#a0a0a0" stroked="f"/>
        </w:pict>
      </w:r>
    </w:p>
    <w:p w14:paraId="62A753EF" w14:textId="77777777" w:rsidR="00F26800" w:rsidRPr="00F26800" w:rsidRDefault="00F26800" w:rsidP="00F26800">
      <w:pPr>
        <w:rPr>
          <w:b/>
          <w:bCs/>
        </w:rPr>
      </w:pPr>
      <w:r w:rsidRPr="00F26800">
        <w:rPr>
          <w:rFonts w:ascii="Segoe UI Symbol" w:hAnsi="Segoe UI Symbol" w:cs="Segoe UI Symbol"/>
          <w:b/>
          <w:bCs/>
        </w:rPr>
        <w:t>⚖</w:t>
      </w:r>
      <w:r w:rsidRPr="00F26800">
        <w:rPr>
          <w:b/>
          <w:bCs/>
        </w:rPr>
        <w:t>️ Leverage</w:t>
      </w:r>
    </w:p>
    <w:p w14:paraId="484BD615" w14:textId="77777777" w:rsidR="00F26800" w:rsidRPr="00F26800" w:rsidRDefault="00F26800" w:rsidP="00F26800">
      <w:pPr>
        <w:numPr>
          <w:ilvl w:val="0"/>
          <w:numId w:val="2"/>
        </w:numPr>
      </w:pPr>
      <w:r w:rsidRPr="00F26800">
        <w:rPr>
          <w:b/>
          <w:bCs/>
        </w:rPr>
        <w:t>Spot Trading:</w:t>
      </w:r>
      <w:r w:rsidRPr="00F26800">
        <w:t xml:space="preserve"> Up to 10x leverage.</w:t>
      </w:r>
    </w:p>
    <w:p w14:paraId="2060D0CD" w14:textId="26F8C3CF" w:rsidR="00F26800" w:rsidRPr="00F26800" w:rsidRDefault="00F26800" w:rsidP="00F26800">
      <w:pPr>
        <w:numPr>
          <w:ilvl w:val="0"/>
          <w:numId w:val="2"/>
        </w:numPr>
      </w:pPr>
      <w:r w:rsidRPr="00F26800">
        <w:rPr>
          <w:b/>
          <w:bCs/>
        </w:rPr>
        <w:t>Futures Trading:</w:t>
      </w:r>
      <w:r w:rsidRPr="00F26800">
        <w:t xml:space="preserve"> Leverage levels vary depending on the asset or trading pair. More volatile assets may have lower maximum leverage limits to manage risk.</w:t>
      </w:r>
      <w:r w:rsidR="005C22ED" w:rsidRPr="00F26800">
        <w:t xml:space="preserve"> </w:t>
      </w:r>
    </w:p>
    <w:p w14:paraId="3D3714E6" w14:textId="77777777" w:rsidR="00F26800" w:rsidRPr="00F26800" w:rsidRDefault="00000000" w:rsidP="00F26800">
      <w:r>
        <w:pict w14:anchorId="3562371A">
          <v:rect id="_x0000_i1027" style="width:468pt;height:1.5pt" o:hralign="center" o:hrstd="t" o:hr="t" fillcolor="#a0a0a0" stroked="f"/>
        </w:pict>
      </w:r>
    </w:p>
    <w:p w14:paraId="05299FE3"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Copy Trading Availability</w:t>
      </w:r>
    </w:p>
    <w:p w14:paraId="28E78342" w14:textId="77777777" w:rsidR="00F26800" w:rsidRPr="00F26800" w:rsidRDefault="00F26800" w:rsidP="00F26800">
      <w:r w:rsidRPr="00F26800">
        <w:t xml:space="preserve">Yes, OKX offers a </w:t>
      </w:r>
      <w:r w:rsidRPr="00F26800">
        <w:rPr>
          <w:b/>
          <w:bCs/>
        </w:rPr>
        <w:t>Copy Trading</w:t>
      </w:r>
      <w:r w:rsidRPr="00F26800">
        <w:t xml:space="preserve"> feature that allows users to replicate the trades of experienced traders. This feature is available for both spot and futures markets, enabling users to follow and copy trading strategies automatically.</w:t>
      </w:r>
    </w:p>
    <w:p w14:paraId="54A352DE" w14:textId="77777777" w:rsidR="00F26800" w:rsidRPr="00F26800" w:rsidRDefault="00000000" w:rsidP="00F26800">
      <w:r>
        <w:pict w14:anchorId="13E8A2E9">
          <v:rect id="_x0000_i1028" style="width:468pt;height:1.5pt" o:hralign="center" o:hrstd="t" o:hr="t" fillcolor="#a0a0a0" stroked="f"/>
        </w:pict>
      </w:r>
    </w:p>
    <w:p w14:paraId="18AEEAF6"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Number of Supported Instruments</w:t>
      </w:r>
    </w:p>
    <w:p w14:paraId="0978B0D1" w14:textId="386F5130" w:rsidR="00F26800" w:rsidRPr="00F26800" w:rsidRDefault="00F26800" w:rsidP="00F26800">
      <w:pPr>
        <w:numPr>
          <w:ilvl w:val="0"/>
          <w:numId w:val="3"/>
        </w:numPr>
      </w:pPr>
      <w:r w:rsidRPr="00F26800">
        <w:rPr>
          <w:b/>
          <w:bCs/>
        </w:rPr>
        <w:t>Cryptocurrencies:</w:t>
      </w:r>
      <w:r w:rsidRPr="00F26800">
        <w:t xml:space="preserve"> Over 350.</w:t>
      </w:r>
      <w:r w:rsidR="005C22ED" w:rsidRPr="00F26800">
        <w:t xml:space="preserve"> </w:t>
      </w:r>
    </w:p>
    <w:p w14:paraId="76240668" w14:textId="77777777" w:rsidR="00F26800" w:rsidRPr="00F26800" w:rsidRDefault="00F26800" w:rsidP="00F26800">
      <w:pPr>
        <w:numPr>
          <w:ilvl w:val="0"/>
          <w:numId w:val="3"/>
        </w:numPr>
      </w:pPr>
      <w:r w:rsidRPr="00F26800">
        <w:rPr>
          <w:b/>
          <w:bCs/>
        </w:rPr>
        <w:t>Trading Pairs:</w:t>
      </w:r>
      <w:r w:rsidRPr="00F26800">
        <w:t xml:space="preserve"> Thousands, including various fiat and crypto pairs.</w:t>
      </w:r>
    </w:p>
    <w:p w14:paraId="5F16C4BB" w14:textId="77777777" w:rsidR="00F26800" w:rsidRPr="00F26800" w:rsidRDefault="00000000" w:rsidP="00F26800">
      <w:r>
        <w:lastRenderedPageBreak/>
        <w:pict w14:anchorId="5EBE7C8A">
          <v:rect id="_x0000_i1029" style="width:468pt;height:1.5pt" o:hralign="center" o:hrstd="t" o:hr="t" fillcolor="#a0a0a0" stroked="f"/>
        </w:pict>
      </w:r>
    </w:p>
    <w:p w14:paraId="07862B01"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Deposit and Withdrawal Methods</w:t>
      </w:r>
    </w:p>
    <w:p w14:paraId="412C7C83" w14:textId="77777777" w:rsidR="00F26800" w:rsidRPr="00F26800" w:rsidRDefault="00F26800" w:rsidP="00F26800">
      <w:pPr>
        <w:numPr>
          <w:ilvl w:val="0"/>
          <w:numId w:val="4"/>
        </w:numPr>
      </w:pPr>
      <w:r w:rsidRPr="00F26800">
        <w:rPr>
          <w:b/>
          <w:bCs/>
        </w:rPr>
        <w:t>Deposits:</w:t>
      </w:r>
    </w:p>
    <w:p w14:paraId="62B17B70" w14:textId="77777777" w:rsidR="00F26800" w:rsidRPr="00F26800" w:rsidRDefault="00F26800" w:rsidP="00F26800">
      <w:pPr>
        <w:numPr>
          <w:ilvl w:val="1"/>
          <w:numId w:val="4"/>
        </w:numPr>
      </w:pPr>
      <w:r w:rsidRPr="00F26800">
        <w:t>Cryptocurrency transfers.</w:t>
      </w:r>
    </w:p>
    <w:p w14:paraId="4DD96D53" w14:textId="77777777" w:rsidR="00F26800" w:rsidRPr="00F26800" w:rsidRDefault="00F26800" w:rsidP="00F26800">
      <w:pPr>
        <w:numPr>
          <w:ilvl w:val="1"/>
          <w:numId w:val="4"/>
        </w:numPr>
      </w:pPr>
      <w:r w:rsidRPr="00F26800">
        <w:t>Bank transfers (ACH, SEPA, SWIFT).</w:t>
      </w:r>
    </w:p>
    <w:p w14:paraId="2943E9BD" w14:textId="77777777" w:rsidR="00F26800" w:rsidRPr="00F26800" w:rsidRDefault="00F26800" w:rsidP="00F26800">
      <w:pPr>
        <w:numPr>
          <w:ilvl w:val="1"/>
          <w:numId w:val="4"/>
        </w:numPr>
      </w:pPr>
      <w:r w:rsidRPr="00F26800">
        <w:t>Credit/Debit cards.</w:t>
      </w:r>
    </w:p>
    <w:p w14:paraId="2D6AB04F" w14:textId="77777777" w:rsidR="00F26800" w:rsidRPr="00F26800" w:rsidRDefault="00F26800" w:rsidP="00F26800">
      <w:pPr>
        <w:numPr>
          <w:ilvl w:val="1"/>
          <w:numId w:val="4"/>
        </w:numPr>
      </w:pPr>
      <w:r w:rsidRPr="00F26800">
        <w:t>P2P trading platform.</w:t>
      </w:r>
    </w:p>
    <w:p w14:paraId="70FA8676" w14:textId="77777777" w:rsidR="00F26800" w:rsidRPr="00F26800" w:rsidRDefault="00F26800" w:rsidP="00F26800">
      <w:pPr>
        <w:numPr>
          <w:ilvl w:val="1"/>
          <w:numId w:val="4"/>
        </w:numPr>
      </w:pPr>
      <w:r w:rsidRPr="00F26800">
        <w:t>Third-party payment providers.</w:t>
      </w:r>
    </w:p>
    <w:p w14:paraId="56054CCF" w14:textId="77777777" w:rsidR="00F26800" w:rsidRPr="00F26800" w:rsidRDefault="00F26800" w:rsidP="00F26800">
      <w:pPr>
        <w:numPr>
          <w:ilvl w:val="0"/>
          <w:numId w:val="4"/>
        </w:numPr>
      </w:pPr>
      <w:r w:rsidRPr="00F26800">
        <w:rPr>
          <w:b/>
          <w:bCs/>
        </w:rPr>
        <w:t>Withdrawals:</w:t>
      </w:r>
    </w:p>
    <w:p w14:paraId="2460896D" w14:textId="77777777" w:rsidR="00F26800" w:rsidRPr="00F26800" w:rsidRDefault="00F26800" w:rsidP="00F26800">
      <w:pPr>
        <w:numPr>
          <w:ilvl w:val="1"/>
          <w:numId w:val="4"/>
        </w:numPr>
      </w:pPr>
      <w:r w:rsidRPr="00F26800">
        <w:t>Cryptocurrency transfers.</w:t>
      </w:r>
    </w:p>
    <w:p w14:paraId="2684E77A" w14:textId="77777777" w:rsidR="00F26800" w:rsidRPr="00F26800" w:rsidRDefault="00F26800" w:rsidP="00F26800">
      <w:pPr>
        <w:numPr>
          <w:ilvl w:val="1"/>
          <w:numId w:val="4"/>
        </w:numPr>
      </w:pPr>
      <w:r w:rsidRPr="00F26800">
        <w:t>Bank transfers.</w:t>
      </w:r>
    </w:p>
    <w:p w14:paraId="53B0F4BB" w14:textId="50089D15" w:rsidR="00F26800" w:rsidRPr="00F26800" w:rsidRDefault="00F26800" w:rsidP="00F26800">
      <w:pPr>
        <w:numPr>
          <w:ilvl w:val="1"/>
          <w:numId w:val="4"/>
        </w:numPr>
      </w:pPr>
      <w:r w:rsidRPr="00F26800">
        <w:t>P2P trading platform.</w:t>
      </w:r>
      <w:r w:rsidR="005C22ED" w:rsidRPr="00F26800">
        <w:t xml:space="preserve"> </w:t>
      </w:r>
    </w:p>
    <w:p w14:paraId="46A999BA" w14:textId="77777777" w:rsidR="00F26800" w:rsidRPr="00F26800" w:rsidRDefault="00F26800" w:rsidP="00F26800">
      <w:r w:rsidRPr="00F26800">
        <w:t>Note: OKX does not charge deposit fees. Withdrawal fees vary depending on the cryptocurrency and network conditions.</w:t>
      </w:r>
    </w:p>
    <w:p w14:paraId="737B4EB5" w14:textId="77777777" w:rsidR="00F26800" w:rsidRPr="00F26800" w:rsidRDefault="00000000" w:rsidP="00F26800">
      <w:r>
        <w:pict w14:anchorId="4CBCA74E">
          <v:rect id="_x0000_i1030" style="width:468pt;height:1.5pt" o:hralign="center" o:hrstd="t" o:hr="t" fillcolor="#a0a0a0" stroked="f"/>
        </w:pict>
      </w:r>
    </w:p>
    <w:p w14:paraId="5C87634C" w14:textId="77777777" w:rsidR="00F26800" w:rsidRPr="00F26800" w:rsidRDefault="00F26800" w:rsidP="00F26800">
      <w:pPr>
        <w:rPr>
          <w:b/>
          <w:bCs/>
        </w:rPr>
      </w:pPr>
      <w:r w:rsidRPr="00F26800">
        <w:rPr>
          <w:rFonts w:ascii="Segoe UI Symbol" w:hAnsi="Segoe UI Symbol" w:cs="Segoe UI Symbol"/>
          <w:b/>
          <w:bCs/>
        </w:rPr>
        <w:t>🖥</w:t>
      </w:r>
      <w:r w:rsidRPr="00F26800">
        <w:rPr>
          <w:b/>
          <w:bCs/>
        </w:rPr>
        <w:t>️ Supported Platforms</w:t>
      </w:r>
    </w:p>
    <w:p w14:paraId="50F94A07" w14:textId="77777777" w:rsidR="00F26800" w:rsidRPr="00F26800" w:rsidRDefault="00F26800" w:rsidP="00F26800">
      <w:pPr>
        <w:numPr>
          <w:ilvl w:val="0"/>
          <w:numId w:val="5"/>
        </w:numPr>
      </w:pPr>
      <w:r w:rsidRPr="00F26800">
        <w:t>Web platform.</w:t>
      </w:r>
    </w:p>
    <w:p w14:paraId="0699CC35" w14:textId="77777777" w:rsidR="00F26800" w:rsidRPr="00F26800" w:rsidRDefault="00F26800" w:rsidP="00F26800">
      <w:pPr>
        <w:numPr>
          <w:ilvl w:val="0"/>
          <w:numId w:val="5"/>
        </w:numPr>
      </w:pPr>
      <w:r w:rsidRPr="00F26800">
        <w:t>Mobile applications (iOS and Android).</w:t>
      </w:r>
    </w:p>
    <w:p w14:paraId="553BC2AD" w14:textId="77777777" w:rsidR="00F26800" w:rsidRPr="00F26800" w:rsidRDefault="00F26800" w:rsidP="00F26800">
      <w:pPr>
        <w:numPr>
          <w:ilvl w:val="0"/>
          <w:numId w:val="5"/>
        </w:numPr>
      </w:pPr>
      <w:r w:rsidRPr="00F26800">
        <w:t>Desktop applications (Windows and macOS).</w:t>
      </w:r>
    </w:p>
    <w:p w14:paraId="70A8543E" w14:textId="77777777" w:rsidR="00F26800" w:rsidRPr="00F26800" w:rsidRDefault="00F26800" w:rsidP="00F26800">
      <w:pPr>
        <w:numPr>
          <w:ilvl w:val="0"/>
          <w:numId w:val="5"/>
        </w:numPr>
      </w:pPr>
      <w:r w:rsidRPr="00F26800">
        <w:t>API for algorithmic trading.</w:t>
      </w:r>
    </w:p>
    <w:p w14:paraId="04B4AFDC" w14:textId="58F884AB" w:rsidR="00F26800" w:rsidRPr="00F26800" w:rsidRDefault="00F26800" w:rsidP="00F26800">
      <w:pPr>
        <w:numPr>
          <w:ilvl w:val="0"/>
          <w:numId w:val="5"/>
        </w:numPr>
      </w:pPr>
      <w:r w:rsidRPr="00F26800">
        <w:t xml:space="preserve">Integration with third-party platforms like </w:t>
      </w:r>
      <w:proofErr w:type="spellStart"/>
      <w:r w:rsidRPr="00F26800">
        <w:t>TradingView</w:t>
      </w:r>
      <w:proofErr w:type="spellEnd"/>
      <w:r w:rsidRPr="00F26800">
        <w:t>.</w:t>
      </w:r>
      <w:r w:rsidR="005C22ED" w:rsidRPr="00F26800">
        <w:t xml:space="preserve"> </w:t>
      </w:r>
    </w:p>
    <w:p w14:paraId="22CB3C9A" w14:textId="77777777" w:rsidR="00F26800" w:rsidRPr="00F26800" w:rsidRDefault="00000000" w:rsidP="00F26800">
      <w:r>
        <w:pict w14:anchorId="7C6B27C2">
          <v:rect id="_x0000_i1031" style="width:468pt;height:1.5pt" o:hralign="center" o:hrstd="t" o:hr="t" fillcolor="#a0a0a0" stroked="f"/>
        </w:pict>
      </w:r>
    </w:p>
    <w:p w14:paraId="69E0A3D4" w14:textId="77777777" w:rsidR="00F26800" w:rsidRPr="00F26800" w:rsidRDefault="00F26800" w:rsidP="00F26800">
      <w:pPr>
        <w:rPr>
          <w:b/>
          <w:bCs/>
        </w:rPr>
      </w:pPr>
      <w:r w:rsidRPr="00F26800">
        <w:rPr>
          <w:rFonts w:ascii="Segoe UI Symbol" w:hAnsi="Segoe UI Symbol" w:cs="Segoe UI Symbol"/>
          <w:b/>
          <w:bCs/>
        </w:rPr>
        <w:t>🛡</w:t>
      </w:r>
      <w:r w:rsidRPr="00F26800">
        <w:rPr>
          <w:b/>
          <w:bCs/>
        </w:rPr>
        <w:t>️ Regulation</w:t>
      </w:r>
    </w:p>
    <w:p w14:paraId="69F9EB95" w14:textId="77777777" w:rsidR="00F26800" w:rsidRPr="00F26800" w:rsidRDefault="00F26800" w:rsidP="00F26800">
      <w:r w:rsidRPr="00F26800">
        <w:t>OKX operates globally and complies with local regulations in various jurisdictions. It requires mandatory KYC (Know Your Customer) verification for users to comply with legal and regulatory obligations, including anti-money laundering and counter-terrorism financing laws.</w:t>
      </w:r>
    </w:p>
    <w:p w14:paraId="33CF9EBA" w14:textId="77777777" w:rsidR="00F26800" w:rsidRPr="00F26800" w:rsidRDefault="00000000" w:rsidP="00F26800">
      <w:r>
        <w:lastRenderedPageBreak/>
        <w:pict w14:anchorId="35E1482B">
          <v:rect id="_x0000_i1032" style="width:468pt;height:1.5pt" o:hralign="center" o:hrstd="t" o:hr="t" fillcolor="#a0a0a0" stroked="f"/>
        </w:pict>
      </w:r>
    </w:p>
    <w:p w14:paraId="3F09191E"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Headquarters</w:t>
      </w:r>
    </w:p>
    <w:p w14:paraId="5B155BAE" w14:textId="77777777" w:rsidR="00F26800" w:rsidRPr="00F26800" w:rsidRDefault="00F26800" w:rsidP="00F26800">
      <w:pPr>
        <w:numPr>
          <w:ilvl w:val="0"/>
          <w:numId w:val="6"/>
        </w:numPr>
      </w:pPr>
      <w:r w:rsidRPr="00F26800">
        <w:rPr>
          <w:b/>
          <w:bCs/>
        </w:rPr>
        <w:t>Location:</w:t>
      </w:r>
      <w:r w:rsidRPr="00F26800">
        <w:t xml:space="preserve"> San Jose, California, USA.</w:t>
      </w:r>
    </w:p>
    <w:p w14:paraId="5D6AFC80" w14:textId="77777777" w:rsidR="00F26800" w:rsidRPr="00F26800" w:rsidRDefault="00000000" w:rsidP="00F26800">
      <w:r>
        <w:pict w14:anchorId="1E9A7BDB">
          <v:rect id="_x0000_i1033" style="width:468pt;height:1.5pt" o:hralign="center" o:hrstd="t" o:hr="t" fillcolor="#a0a0a0" stroked="f"/>
        </w:pict>
      </w:r>
    </w:p>
    <w:p w14:paraId="6C658F9E"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Contact Information</w:t>
      </w:r>
    </w:p>
    <w:p w14:paraId="0F43876E" w14:textId="77777777" w:rsidR="00F26800" w:rsidRPr="00F26800" w:rsidRDefault="00F26800" w:rsidP="00F26800">
      <w:pPr>
        <w:numPr>
          <w:ilvl w:val="0"/>
          <w:numId w:val="7"/>
        </w:numPr>
      </w:pPr>
      <w:r w:rsidRPr="00F26800">
        <w:rPr>
          <w:b/>
          <w:bCs/>
        </w:rPr>
        <w:t>Support Center:</w:t>
      </w:r>
      <w:r w:rsidRPr="00F26800">
        <w:t xml:space="preserve"> </w:t>
      </w:r>
      <w:hyperlink r:id="rId5" w:tgtFrame="_new" w:history="1">
        <w:r w:rsidRPr="00F26800">
          <w:rPr>
            <w:rStyle w:val="Hyperlink"/>
          </w:rPr>
          <w:t>https://www.okx.com/help</w:t>
        </w:r>
      </w:hyperlink>
    </w:p>
    <w:p w14:paraId="2CAF3126" w14:textId="5106882F" w:rsidR="00F26800" w:rsidRPr="00F26800" w:rsidRDefault="00F26800" w:rsidP="00F26800">
      <w:pPr>
        <w:numPr>
          <w:ilvl w:val="0"/>
          <w:numId w:val="7"/>
        </w:numPr>
      </w:pPr>
      <w:r w:rsidRPr="00F26800">
        <w:rPr>
          <w:b/>
          <w:bCs/>
        </w:rPr>
        <w:t>Email Support:</w:t>
      </w:r>
      <w:r w:rsidRPr="00F26800">
        <w:t xml:space="preserve"> </w:t>
      </w:r>
      <w:hyperlink r:id="rId6" w:history="1">
        <w:r w:rsidRPr="00F26800">
          <w:rPr>
            <w:rStyle w:val="Hyperlink"/>
          </w:rPr>
          <w:t>support@okx.com</w:t>
        </w:r>
      </w:hyperlink>
    </w:p>
    <w:p w14:paraId="57FD3C65" w14:textId="02A35AC7" w:rsidR="00F26800" w:rsidRPr="00F26800" w:rsidRDefault="00F26800" w:rsidP="00F26800">
      <w:pPr>
        <w:numPr>
          <w:ilvl w:val="0"/>
          <w:numId w:val="7"/>
        </w:numPr>
      </w:pPr>
      <w:r w:rsidRPr="00F26800">
        <w:rPr>
          <w:b/>
          <w:bCs/>
        </w:rPr>
        <w:t>Phone Support:</w:t>
      </w:r>
      <w:r w:rsidRPr="00F26800">
        <w:t xml:space="preserve"> +1 226 798 4487</w:t>
      </w:r>
    </w:p>
    <w:p w14:paraId="2902D45F" w14:textId="77777777" w:rsidR="00F26800" w:rsidRPr="00F26800" w:rsidRDefault="00000000" w:rsidP="00F26800">
      <w:r>
        <w:pict w14:anchorId="278E390E">
          <v:rect id="_x0000_i1034" style="width:468pt;height:1.5pt" o:hralign="center" o:hrstd="t" o:hr="t" fillcolor="#a0a0a0" stroked="f"/>
        </w:pict>
      </w:r>
    </w:p>
    <w:p w14:paraId="6C9A06A4"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Year of Establishment</w:t>
      </w:r>
    </w:p>
    <w:p w14:paraId="6BFDC261" w14:textId="77777777" w:rsidR="00F26800" w:rsidRPr="00F26800" w:rsidRDefault="00F26800" w:rsidP="00F26800">
      <w:pPr>
        <w:numPr>
          <w:ilvl w:val="0"/>
          <w:numId w:val="8"/>
        </w:numPr>
      </w:pPr>
      <w:r w:rsidRPr="00F26800">
        <w:rPr>
          <w:b/>
          <w:bCs/>
        </w:rPr>
        <w:t>Founded:</w:t>
      </w:r>
      <w:r w:rsidRPr="00F26800">
        <w:t xml:space="preserve"> </w:t>
      </w:r>
    </w:p>
    <w:p w14:paraId="669089F9" w14:textId="4FDE46C1" w:rsidR="00F26800" w:rsidRPr="00F26800" w:rsidRDefault="00F26800" w:rsidP="005C22ED">
      <w:pPr>
        <w:numPr>
          <w:ilvl w:val="1"/>
          <w:numId w:val="8"/>
        </w:numPr>
      </w:pPr>
    </w:p>
    <w:p w14:paraId="520A0FE4" w14:textId="77777777" w:rsidR="00F26800" w:rsidRPr="00F26800" w:rsidRDefault="00000000" w:rsidP="00F26800">
      <w:r>
        <w:pict w14:anchorId="162FA648">
          <v:rect id="_x0000_i1035" style="width:468pt;height:1.5pt" o:hralign="center" o:hrstd="t" o:hr="t" fillcolor="#a0a0a0" stroked="f"/>
        </w:pict>
      </w:r>
    </w:p>
    <w:p w14:paraId="67107B7D"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Support Email</w:t>
      </w:r>
    </w:p>
    <w:p w14:paraId="7E5E4632" w14:textId="1D4D3861" w:rsidR="00F26800" w:rsidRPr="00F26800" w:rsidRDefault="00F26800" w:rsidP="00F26800">
      <w:pPr>
        <w:numPr>
          <w:ilvl w:val="0"/>
          <w:numId w:val="9"/>
        </w:numPr>
      </w:pPr>
      <w:r w:rsidRPr="00F26800">
        <w:rPr>
          <w:b/>
          <w:bCs/>
        </w:rPr>
        <w:t>Email:</w:t>
      </w:r>
      <w:r w:rsidRPr="00F26800">
        <w:t xml:space="preserve"> </w:t>
      </w:r>
      <w:hyperlink r:id="rId7" w:history="1">
        <w:r w:rsidRPr="00F26800">
          <w:rPr>
            <w:rStyle w:val="Hyperlink"/>
          </w:rPr>
          <w:t>support@okx.com</w:t>
        </w:r>
      </w:hyperlink>
    </w:p>
    <w:p w14:paraId="01B7D990" w14:textId="77777777" w:rsidR="00F26800" w:rsidRPr="00F26800" w:rsidRDefault="00000000" w:rsidP="00F26800">
      <w:r>
        <w:pict w14:anchorId="3D0AC39D">
          <v:rect id="_x0000_i1036" style="width:468pt;height:1.5pt" o:hralign="center" o:hrstd="t" o:hr="t" fillcolor="#a0a0a0" stroked="f"/>
        </w:pict>
      </w:r>
    </w:p>
    <w:p w14:paraId="05222449" w14:textId="77777777" w:rsidR="00F26800" w:rsidRPr="00F26800" w:rsidRDefault="00F26800" w:rsidP="00F26800">
      <w:pPr>
        <w:rPr>
          <w:b/>
          <w:bCs/>
        </w:rPr>
      </w:pPr>
      <w:r w:rsidRPr="00F26800">
        <w:rPr>
          <w:rFonts w:ascii="Segoe UI Emoji" w:hAnsi="Segoe UI Emoji" w:cs="Segoe UI Emoji"/>
          <w:b/>
          <w:bCs/>
        </w:rPr>
        <w:t>🧾</w:t>
      </w:r>
      <w:r w:rsidRPr="00F26800">
        <w:rPr>
          <w:b/>
          <w:bCs/>
        </w:rPr>
        <w:t xml:space="preserve"> Account Types and Conditions</w:t>
      </w:r>
    </w:p>
    <w:p w14:paraId="09D6B621" w14:textId="4B865B4C" w:rsidR="00F26800" w:rsidRPr="00F26800" w:rsidRDefault="00F26800" w:rsidP="00F26800">
      <w:r w:rsidRPr="00F26800">
        <w:t>OKX offers various account types and features based on user verification levels and trading needs:</w:t>
      </w:r>
      <w:r w:rsidR="005C22ED" w:rsidRPr="00F26800">
        <w:t xml:space="preserve"> </w:t>
      </w:r>
    </w:p>
    <w:p w14:paraId="0D15BD8A" w14:textId="77777777" w:rsidR="00F26800" w:rsidRPr="00F26800" w:rsidRDefault="00F26800" w:rsidP="00F26800">
      <w:pPr>
        <w:numPr>
          <w:ilvl w:val="0"/>
          <w:numId w:val="10"/>
        </w:numPr>
      </w:pPr>
      <w:r w:rsidRPr="00F26800">
        <w:rPr>
          <w:b/>
          <w:bCs/>
        </w:rPr>
        <w:t>Simple Account:</w:t>
      </w:r>
    </w:p>
    <w:p w14:paraId="16150C23" w14:textId="77777777" w:rsidR="00F26800" w:rsidRPr="00F26800" w:rsidRDefault="00F26800" w:rsidP="00F26800">
      <w:pPr>
        <w:numPr>
          <w:ilvl w:val="1"/>
          <w:numId w:val="10"/>
        </w:numPr>
      </w:pPr>
      <w:r w:rsidRPr="00F26800">
        <w:rPr>
          <w:b/>
          <w:bCs/>
        </w:rPr>
        <w:t>Verification:</w:t>
      </w:r>
      <w:r w:rsidRPr="00F26800">
        <w:t xml:space="preserve"> Email registration.</w:t>
      </w:r>
    </w:p>
    <w:p w14:paraId="407F65B6" w14:textId="7058B5EB" w:rsidR="00F26800" w:rsidRPr="00F26800" w:rsidRDefault="00F26800" w:rsidP="00F26800">
      <w:pPr>
        <w:numPr>
          <w:ilvl w:val="1"/>
          <w:numId w:val="10"/>
        </w:numPr>
      </w:pPr>
      <w:r w:rsidRPr="00F26800">
        <w:rPr>
          <w:b/>
          <w:bCs/>
        </w:rPr>
        <w:t>Features:</w:t>
      </w:r>
      <w:r w:rsidRPr="00F26800">
        <w:t xml:space="preserve"> Limited access; primarily for browsing.</w:t>
      </w:r>
      <w:r w:rsidR="005C22ED" w:rsidRPr="00F26800">
        <w:t xml:space="preserve"> </w:t>
      </w:r>
    </w:p>
    <w:p w14:paraId="726DBAE3" w14:textId="77777777" w:rsidR="00F26800" w:rsidRPr="00F26800" w:rsidRDefault="00F26800" w:rsidP="00F26800">
      <w:pPr>
        <w:numPr>
          <w:ilvl w:val="0"/>
          <w:numId w:val="10"/>
        </w:numPr>
      </w:pPr>
      <w:r w:rsidRPr="00F26800">
        <w:rPr>
          <w:b/>
          <w:bCs/>
        </w:rPr>
        <w:t>Verified Account:</w:t>
      </w:r>
    </w:p>
    <w:p w14:paraId="76A78ECC" w14:textId="77777777" w:rsidR="00F26800" w:rsidRPr="00F26800" w:rsidRDefault="00F26800" w:rsidP="00F26800">
      <w:pPr>
        <w:numPr>
          <w:ilvl w:val="1"/>
          <w:numId w:val="10"/>
        </w:numPr>
      </w:pPr>
      <w:r w:rsidRPr="00F26800">
        <w:rPr>
          <w:b/>
          <w:bCs/>
        </w:rPr>
        <w:t>Verification:</w:t>
      </w:r>
      <w:r w:rsidRPr="00F26800">
        <w:t xml:space="preserve"> KYC process completed.</w:t>
      </w:r>
    </w:p>
    <w:p w14:paraId="151E1D86" w14:textId="77777777" w:rsidR="00F26800" w:rsidRPr="00F26800" w:rsidRDefault="00F26800" w:rsidP="00F26800">
      <w:pPr>
        <w:numPr>
          <w:ilvl w:val="1"/>
          <w:numId w:val="10"/>
        </w:numPr>
      </w:pPr>
      <w:r w:rsidRPr="00F26800">
        <w:rPr>
          <w:b/>
          <w:bCs/>
        </w:rPr>
        <w:t>Features:</w:t>
      </w:r>
      <w:r w:rsidRPr="00F26800">
        <w:t xml:space="preserve"> Full access to trading, deposits, and withdrawals.</w:t>
      </w:r>
    </w:p>
    <w:p w14:paraId="3F5F696F" w14:textId="77777777" w:rsidR="00F26800" w:rsidRPr="00F26800" w:rsidRDefault="00F26800" w:rsidP="00F26800">
      <w:pPr>
        <w:numPr>
          <w:ilvl w:val="0"/>
          <w:numId w:val="10"/>
        </w:numPr>
      </w:pPr>
      <w:r w:rsidRPr="00F26800">
        <w:rPr>
          <w:b/>
          <w:bCs/>
        </w:rPr>
        <w:t>Margin Account:</w:t>
      </w:r>
    </w:p>
    <w:p w14:paraId="4A5C934D" w14:textId="77777777" w:rsidR="00F26800" w:rsidRPr="00F26800" w:rsidRDefault="00F26800" w:rsidP="00F26800">
      <w:pPr>
        <w:numPr>
          <w:ilvl w:val="1"/>
          <w:numId w:val="10"/>
        </w:numPr>
      </w:pPr>
      <w:r w:rsidRPr="00F26800">
        <w:rPr>
          <w:b/>
          <w:bCs/>
        </w:rPr>
        <w:lastRenderedPageBreak/>
        <w:t>Features:</w:t>
      </w:r>
      <w:r w:rsidRPr="00F26800">
        <w:t xml:space="preserve"> Access to margin trading with leverage up to 10x.</w:t>
      </w:r>
    </w:p>
    <w:p w14:paraId="5C8BD1DB" w14:textId="77777777" w:rsidR="00F26800" w:rsidRPr="00F26800" w:rsidRDefault="00F26800" w:rsidP="00F26800">
      <w:pPr>
        <w:numPr>
          <w:ilvl w:val="0"/>
          <w:numId w:val="10"/>
        </w:numPr>
      </w:pPr>
      <w:r w:rsidRPr="00F26800">
        <w:rPr>
          <w:b/>
          <w:bCs/>
        </w:rPr>
        <w:t>Futures Account:</w:t>
      </w:r>
    </w:p>
    <w:p w14:paraId="7AFE9313" w14:textId="77777777" w:rsidR="00F26800" w:rsidRPr="00F26800" w:rsidRDefault="00F26800" w:rsidP="00F26800">
      <w:pPr>
        <w:numPr>
          <w:ilvl w:val="1"/>
          <w:numId w:val="10"/>
        </w:numPr>
      </w:pPr>
      <w:r w:rsidRPr="00F26800">
        <w:rPr>
          <w:b/>
          <w:bCs/>
        </w:rPr>
        <w:t>Features:</w:t>
      </w:r>
      <w:r w:rsidRPr="00F26800">
        <w:t xml:space="preserve"> Access to futures trading with leverage up to 100x.</w:t>
      </w:r>
    </w:p>
    <w:p w14:paraId="135D3BE9" w14:textId="77777777" w:rsidR="00F26800" w:rsidRPr="00F26800" w:rsidRDefault="00F26800" w:rsidP="00F26800">
      <w:pPr>
        <w:numPr>
          <w:ilvl w:val="0"/>
          <w:numId w:val="10"/>
        </w:numPr>
      </w:pPr>
      <w:r w:rsidRPr="00F26800">
        <w:rPr>
          <w:b/>
          <w:bCs/>
        </w:rPr>
        <w:t>Sub-Accounts:</w:t>
      </w:r>
    </w:p>
    <w:p w14:paraId="7AD024CB" w14:textId="77777777" w:rsidR="00F26800" w:rsidRPr="00F26800" w:rsidRDefault="00F26800" w:rsidP="00F26800">
      <w:pPr>
        <w:numPr>
          <w:ilvl w:val="1"/>
          <w:numId w:val="10"/>
        </w:numPr>
      </w:pPr>
      <w:r w:rsidRPr="00F26800">
        <w:rPr>
          <w:b/>
          <w:bCs/>
        </w:rPr>
        <w:t>Features:</w:t>
      </w:r>
      <w:r w:rsidRPr="00F26800">
        <w:t xml:space="preserve"> Allows institutional users to create multiple accounts under one main account for better management.</w:t>
      </w:r>
    </w:p>
    <w:p w14:paraId="1E208712" w14:textId="77777777" w:rsidR="00F26800" w:rsidRPr="00F26800" w:rsidRDefault="00F26800" w:rsidP="00F26800">
      <w:pPr>
        <w:numPr>
          <w:ilvl w:val="0"/>
          <w:numId w:val="10"/>
        </w:numPr>
      </w:pPr>
      <w:r w:rsidRPr="00F26800">
        <w:rPr>
          <w:b/>
          <w:bCs/>
        </w:rPr>
        <w:t>VIP Accounts:</w:t>
      </w:r>
    </w:p>
    <w:p w14:paraId="60EA72D0" w14:textId="77777777" w:rsidR="00F26800" w:rsidRPr="00F26800" w:rsidRDefault="00F26800" w:rsidP="00F26800">
      <w:pPr>
        <w:numPr>
          <w:ilvl w:val="1"/>
          <w:numId w:val="10"/>
        </w:numPr>
      </w:pPr>
      <w:r w:rsidRPr="00F26800">
        <w:rPr>
          <w:b/>
          <w:bCs/>
        </w:rPr>
        <w:t>Features:</w:t>
      </w:r>
      <w:r w:rsidRPr="00F26800">
        <w:t xml:space="preserve"> Tailored for high-volume traders and institutions, offering lower fees and dedicated support.</w:t>
      </w:r>
    </w:p>
    <w:p w14:paraId="1D437506" w14:textId="77777777" w:rsidR="00F26800" w:rsidRPr="00F26800" w:rsidRDefault="00F26800" w:rsidP="00F26800">
      <w:r w:rsidRPr="00F26800">
        <w:t>………………………………………………………………………………………………………………..</w:t>
      </w:r>
    </w:p>
    <w:p w14:paraId="3FED2A64" w14:textId="77777777" w:rsidR="00F26800" w:rsidRPr="00F26800" w:rsidRDefault="00F26800" w:rsidP="00F26800"/>
    <w:p w14:paraId="1225FFAF" w14:textId="77777777" w:rsidR="00F26800" w:rsidRDefault="00F26800"/>
    <w:sectPr w:rsidR="00F2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42BE"/>
    <w:multiLevelType w:val="multilevel"/>
    <w:tmpl w:val="4FE80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D5136"/>
    <w:multiLevelType w:val="multilevel"/>
    <w:tmpl w:val="718A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84BA6"/>
    <w:multiLevelType w:val="multilevel"/>
    <w:tmpl w:val="A632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F1D07"/>
    <w:multiLevelType w:val="multilevel"/>
    <w:tmpl w:val="A5240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C4859"/>
    <w:multiLevelType w:val="multilevel"/>
    <w:tmpl w:val="5F56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02B0C"/>
    <w:multiLevelType w:val="multilevel"/>
    <w:tmpl w:val="4E00B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910F6"/>
    <w:multiLevelType w:val="multilevel"/>
    <w:tmpl w:val="D5CE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22706"/>
    <w:multiLevelType w:val="multilevel"/>
    <w:tmpl w:val="8CE00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F90148"/>
    <w:multiLevelType w:val="multilevel"/>
    <w:tmpl w:val="A238D810"/>
    <w:lvl w:ilvl="0">
      <w:start w:val="1"/>
      <w:numFmt w:val="bullet"/>
      <w:lvlText w:val=""/>
      <w:lvlJc w:val="left"/>
      <w:pPr>
        <w:tabs>
          <w:tab w:val="num" w:pos="720"/>
        </w:tabs>
        <w:ind w:left="720" w:hanging="360"/>
      </w:pPr>
      <w:rPr>
        <w:rFonts w:ascii="Symbol" w:hAnsi="Symbol" w:hint="default"/>
        <w:sz w:val="20"/>
      </w:rPr>
    </w:lvl>
    <w:lvl w:ilvl="1">
      <w:start w:val="2017"/>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E466B"/>
    <w:multiLevelType w:val="multilevel"/>
    <w:tmpl w:val="69683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9613596">
    <w:abstractNumId w:val="4"/>
  </w:num>
  <w:num w:numId="2" w16cid:durableId="1944915824">
    <w:abstractNumId w:val="0"/>
  </w:num>
  <w:num w:numId="3" w16cid:durableId="2088720143">
    <w:abstractNumId w:val="6"/>
  </w:num>
  <w:num w:numId="4" w16cid:durableId="1749303471">
    <w:abstractNumId w:val="1"/>
  </w:num>
  <w:num w:numId="5" w16cid:durableId="113257155">
    <w:abstractNumId w:val="5"/>
  </w:num>
  <w:num w:numId="6" w16cid:durableId="598224490">
    <w:abstractNumId w:val="9"/>
  </w:num>
  <w:num w:numId="7" w16cid:durableId="1653868503">
    <w:abstractNumId w:val="2"/>
  </w:num>
  <w:num w:numId="8" w16cid:durableId="1707371470">
    <w:abstractNumId w:val="8"/>
    <w:lvlOverride w:ilvl="0"/>
    <w:lvlOverride w:ilvl="1">
      <w:startOverride w:val="2017"/>
    </w:lvlOverride>
    <w:lvlOverride w:ilvl="2"/>
    <w:lvlOverride w:ilvl="3"/>
    <w:lvlOverride w:ilvl="4"/>
    <w:lvlOverride w:ilvl="5"/>
    <w:lvlOverride w:ilvl="6"/>
    <w:lvlOverride w:ilvl="7"/>
    <w:lvlOverride w:ilvl="8"/>
  </w:num>
  <w:num w:numId="9" w16cid:durableId="1629507254">
    <w:abstractNumId w:val="3"/>
  </w:num>
  <w:num w:numId="10" w16cid:durableId="1269504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0"/>
    <w:rsid w:val="005C22ED"/>
    <w:rsid w:val="0064628D"/>
    <w:rsid w:val="00DE776D"/>
    <w:rsid w:val="00F26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E7A4"/>
  <w15:chartTrackingRefBased/>
  <w15:docId w15:val="{A9CCB7F5-C223-4D83-BA21-B3B6E056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800"/>
    <w:rPr>
      <w:rFonts w:eastAsiaTheme="majorEastAsia" w:cstheme="majorBidi"/>
      <w:color w:val="272727" w:themeColor="text1" w:themeTint="D8"/>
    </w:rPr>
  </w:style>
  <w:style w:type="paragraph" w:styleId="Title">
    <w:name w:val="Title"/>
    <w:basedOn w:val="Normal"/>
    <w:next w:val="Normal"/>
    <w:link w:val="TitleChar"/>
    <w:uiPriority w:val="10"/>
    <w:qFormat/>
    <w:rsid w:val="00F26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800"/>
    <w:pPr>
      <w:spacing w:before="160"/>
      <w:jc w:val="center"/>
    </w:pPr>
    <w:rPr>
      <w:i/>
      <w:iCs/>
      <w:color w:val="404040" w:themeColor="text1" w:themeTint="BF"/>
    </w:rPr>
  </w:style>
  <w:style w:type="character" w:customStyle="1" w:styleId="QuoteChar">
    <w:name w:val="Quote Char"/>
    <w:basedOn w:val="DefaultParagraphFont"/>
    <w:link w:val="Quote"/>
    <w:uiPriority w:val="29"/>
    <w:rsid w:val="00F26800"/>
    <w:rPr>
      <w:i/>
      <w:iCs/>
      <w:color w:val="404040" w:themeColor="text1" w:themeTint="BF"/>
    </w:rPr>
  </w:style>
  <w:style w:type="paragraph" w:styleId="ListParagraph">
    <w:name w:val="List Paragraph"/>
    <w:basedOn w:val="Normal"/>
    <w:uiPriority w:val="34"/>
    <w:qFormat/>
    <w:rsid w:val="00F26800"/>
    <w:pPr>
      <w:ind w:left="720"/>
      <w:contextualSpacing/>
    </w:pPr>
  </w:style>
  <w:style w:type="character" w:styleId="IntenseEmphasis">
    <w:name w:val="Intense Emphasis"/>
    <w:basedOn w:val="DefaultParagraphFont"/>
    <w:uiPriority w:val="21"/>
    <w:qFormat/>
    <w:rsid w:val="00F26800"/>
    <w:rPr>
      <w:i/>
      <w:iCs/>
      <w:color w:val="0F4761" w:themeColor="accent1" w:themeShade="BF"/>
    </w:rPr>
  </w:style>
  <w:style w:type="paragraph" w:styleId="IntenseQuote">
    <w:name w:val="Intense Quote"/>
    <w:basedOn w:val="Normal"/>
    <w:next w:val="Normal"/>
    <w:link w:val="IntenseQuoteChar"/>
    <w:uiPriority w:val="30"/>
    <w:qFormat/>
    <w:rsid w:val="00F26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800"/>
    <w:rPr>
      <w:i/>
      <w:iCs/>
      <w:color w:val="0F4761" w:themeColor="accent1" w:themeShade="BF"/>
    </w:rPr>
  </w:style>
  <w:style w:type="character" w:styleId="IntenseReference">
    <w:name w:val="Intense Reference"/>
    <w:basedOn w:val="DefaultParagraphFont"/>
    <w:uiPriority w:val="32"/>
    <w:qFormat/>
    <w:rsid w:val="00F26800"/>
    <w:rPr>
      <w:b/>
      <w:bCs/>
      <w:smallCaps/>
      <w:color w:val="0F4761" w:themeColor="accent1" w:themeShade="BF"/>
      <w:spacing w:val="5"/>
    </w:rPr>
  </w:style>
  <w:style w:type="character" w:styleId="Hyperlink">
    <w:name w:val="Hyperlink"/>
    <w:basedOn w:val="DefaultParagraphFont"/>
    <w:uiPriority w:val="99"/>
    <w:unhideWhenUsed/>
    <w:rsid w:val="00F26800"/>
    <w:rPr>
      <w:color w:val="467886" w:themeColor="hyperlink"/>
      <w:u w:val="single"/>
    </w:rPr>
  </w:style>
  <w:style w:type="character" w:styleId="UnresolvedMention">
    <w:name w:val="Unresolved Mention"/>
    <w:basedOn w:val="DefaultParagraphFont"/>
    <w:uiPriority w:val="99"/>
    <w:semiHidden/>
    <w:unhideWhenUsed/>
    <w:rsid w:val="00F2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3932">
      <w:bodyDiv w:val="1"/>
      <w:marLeft w:val="0"/>
      <w:marRight w:val="0"/>
      <w:marTop w:val="0"/>
      <w:marBottom w:val="0"/>
      <w:divBdr>
        <w:top w:val="none" w:sz="0" w:space="0" w:color="auto"/>
        <w:left w:val="none" w:sz="0" w:space="0" w:color="auto"/>
        <w:bottom w:val="none" w:sz="0" w:space="0" w:color="auto"/>
        <w:right w:val="none" w:sz="0" w:space="0" w:color="auto"/>
      </w:divBdr>
      <w:divsChild>
        <w:div w:id="2132358404">
          <w:marLeft w:val="0"/>
          <w:marRight w:val="0"/>
          <w:marTop w:val="0"/>
          <w:marBottom w:val="160"/>
          <w:divBdr>
            <w:top w:val="none" w:sz="0" w:space="0" w:color="auto"/>
            <w:left w:val="none" w:sz="0" w:space="0" w:color="auto"/>
            <w:bottom w:val="none" w:sz="0" w:space="0" w:color="auto"/>
            <w:right w:val="none" w:sz="0" w:space="0" w:color="auto"/>
          </w:divBdr>
        </w:div>
        <w:div w:id="1276794971">
          <w:marLeft w:val="0"/>
          <w:marRight w:val="0"/>
          <w:marTop w:val="0"/>
          <w:marBottom w:val="160"/>
          <w:divBdr>
            <w:top w:val="none" w:sz="0" w:space="0" w:color="auto"/>
            <w:left w:val="none" w:sz="0" w:space="0" w:color="auto"/>
            <w:bottom w:val="none" w:sz="0" w:space="0" w:color="auto"/>
            <w:right w:val="none" w:sz="0" w:space="0" w:color="auto"/>
          </w:divBdr>
        </w:div>
        <w:div w:id="1899778804">
          <w:marLeft w:val="0"/>
          <w:marRight w:val="0"/>
          <w:marTop w:val="0"/>
          <w:marBottom w:val="160"/>
          <w:divBdr>
            <w:top w:val="none" w:sz="0" w:space="0" w:color="auto"/>
            <w:left w:val="none" w:sz="0" w:space="0" w:color="auto"/>
            <w:bottom w:val="none" w:sz="0" w:space="0" w:color="auto"/>
            <w:right w:val="none" w:sz="0" w:space="0" w:color="auto"/>
          </w:divBdr>
        </w:div>
        <w:div w:id="1774668337">
          <w:marLeft w:val="0"/>
          <w:marRight w:val="0"/>
          <w:marTop w:val="0"/>
          <w:marBottom w:val="160"/>
          <w:divBdr>
            <w:top w:val="none" w:sz="0" w:space="0" w:color="auto"/>
            <w:left w:val="none" w:sz="0" w:space="0" w:color="auto"/>
            <w:bottom w:val="none" w:sz="0" w:space="0" w:color="auto"/>
            <w:right w:val="none" w:sz="0" w:space="0" w:color="auto"/>
          </w:divBdr>
        </w:div>
        <w:div w:id="89544438">
          <w:marLeft w:val="0"/>
          <w:marRight w:val="0"/>
          <w:marTop w:val="0"/>
          <w:marBottom w:val="160"/>
          <w:divBdr>
            <w:top w:val="none" w:sz="0" w:space="0" w:color="auto"/>
            <w:left w:val="none" w:sz="0" w:space="0" w:color="auto"/>
            <w:bottom w:val="none" w:sz="0" w:space="0" w:color="auto"/>
            <w:right w:val="none" w:sz="0" w:space="0" w:color="auto"/>
          </w:divBdr>
        </w:div>
        <w:div w:id="1407992252">
          <w:marLeft w:val="0"/>
          <w:marRight w:val="0"/>
          <w:marTop w:val="0"/>
          <w:marBottom w:val="160"/>
          <w:divBdr>
            <w:top w:val="none" w:sz="0" w:space="0" w:color="auto"/>
            <w:left w:val="none" w:sz="0" w:space="0" w:color="auto"/>
            <w:bottom w:val="none" w:sz="0" w:space="0" w:color="auto"/>
            <w:right w:val="none" w:sz="0" w:space="0" w:color="auto"/>
          </w:divBdr>
        </w:div>
        <w:div w:id="1733654351">
          <w:marLeft w:val="0"/>
          <w:marRight w:val="0"/>
          <w:marTop w:val="0"/>
          <w:marBottom w:val="160"/>
          <w:divBdr>
            <w:top w:val="none" w:sz="0" w:space="0" w:color="auto"/>
            <w:left w:val="none" w:sz="0" w:space="0" w:color="auto"/>
            <w:bottom w:val="none" w:sz="0" w:space="0" w:color="auto"/>
            <w:right w:val="none" w:sz="0" w:space="0" w:color="auto"/>
          </w:divBdr>
        </w:div>
        <w:div w:id="1146243825">
          <w:marLeft w:val="0"/>
          <w:marRight w:val="0"/>
          <w:marTop w:val="0"/>
          <w:marBottom w:val="160"/>
          <w:divBdr>
            <w:top w:val="none" w:sz="0" w:space="0" w:color="auto"/>
            <w:left w:val="none" w:sz="0" w:space="0" w:color="auto"/>
            <w:bottom w:val="none" w:sz="0" w:space="0" w:color="auto"/>
            <w:right w:val="none" w:sz="0" w:space="0" w:color="auto"/>
          </w:divBdr>
        </w:div>
        <w:div w:id="273559084">
          <w:marLeft w:val="0"/>
          <w:marRight w:val="0"/>
          <w:marTop w:val="0"/>
          <w:marBottom w:val="160"/>
          <w:divBdr>
            <w:top w:val="none" w:sz="0" w:space="0" w:color="auto"/>
            <w:left w:val="none" w:sz="0" w:space="0" w:color="auto"/>
            <w:bottom w:val="none" w:sz="0" w:space="0" w:color="auto"/>
            <w:right w:val="none" w:sz="0" w:space="0" w:color="auto"/>
          </w:divBdr>
        </w:div>
        <w:div w:id="1173257243">
          <w:marLeft w:val="0"/>
          <w:marRight w:val="0"/>
          <w:marTop w:val="0"/>
          <w:marBottom w:val="160"/>
          <w:divBdr>
            <w:top w:val="none" w:sz="0" w:space="0" w:color="auto"/>
            <w:left w:val="none" w:sz="0" w:space="0" w:color="auto"/>
            <w:bottom w:val="none" w:sz="0" w:space="0" w:color="auto"/>
            <w:right w:val="none" w:sz="0" w:space="0" w:color="auto"/>
          </w:divBdr>
        </w:div>
        <w:div w:id="860168566">
          <w:marLeft w:val="0"/>
          <w:marRight w:val="0"/>
          <w:marTop w:val="0"/>
          <w:marBottom w:val="160"/>
          <w:divBdr>
            <w:top w:val="none" w:sz="0" w:space="0" w:color="auto"/>
            <w:left w:val="none" w:sz="0" w:space="0" w:color="auto"/>
            <w:bottom w:val="none" w:sz="0" w:space="0" w:color="auto"/>
            <w:right w:val="none" w:sz="0" w:space="0" w:color="auto"/>
          </w:divBdr>
        </w:div>
        <w:div w:id="1427966433">
          <w:marLeft w:val="0"/>
          <w:marRight w:val="0"/>
          <w:marTop w:val="0"/>
          <w:marBottom w:val="160"/>
          <w:divBdr>
            <w:top w:val="none" w:sz="0" w:space="0" w:color="auto"/>
            <w:left w:val="none" w:sz="0" w:space="0" w:color="auto"/>
            <w:bottom w:val="none" w:sz="0" w:space="0" w:color="auto"/>
            <w:right w:val="none" w:sz="0" w:space="0" w:color="auto"/>
          </w:divBdr>
        </w:div>
      </w:divsChild>
    </w:div>
    <w:div w:id="2122602143">
      <w:bodyDiv w:val="1"/>
      <w:marLeft w:val="0"/>
      <w:marRight w:val="0"/>
      <w:marTop w:val="0"/>
      <w:marBottom w:val="0"/>
      <w:divBdr>
        <w:top w:val="none" w:sz="0" w:space="0" w:color="auto"/>
        <w:left w:val="none" w:sz="0" w:space="0" w:color="auto"/>
        <w:bottom w:val="none" w:sz="0" w:space="0" w:color="auto"/>
        <w:right w:val="none" w:sz="0" w:space="0" w:color="auto"/>
      </w:divBdr>
      <w:divsChild>
        <w:div w:id="627663826">
          <w:marLeft w:val="0"/>
          <w:marRight w:val="0"/>
          <w:marTop w:val="0"/>
          <w:marBottom w:val="160"/>
          <w:divBdr>
            <w:top w:val="none" w:sz="0" w:space="0" w:color="auto"/>
            <w:left w:val="none" w:sz="0" w:space="0" w:color="auto"/>
            <w:bottom w:val="none" w:sz="0" w:space="0" w:color="auto"/>
            <w:right w:val="none" w:sz="0" w:space="0" w:color="auto"/>
          </w:divBdr>
        </w:div>
        <w:div w:id="1550143747">
          <w:marLeft w:val="0"/>
          <w:marRight w:val="0"/>
          <w:marTop w:val="0"/>
          <w:marBottom w:val="160"/>
          <w:divBdr>
            <w:top w:val="none" w:sz="0" w:space="0" w:color="auto"/>
            <w:left w:val="none" w:sz="0" w:space="0" w:color="auto"/>
            <w:bottom w:val="none" w:sz="0" w:space="0" w:color="auto"/>
            <w:right w:val="none" w:sz="0" w:space="0" w:color="auto"/>
          </w:divBdr>
        </w:div>
        <w:div w:id="1976791576">
          <w:marLeft w:val="0"/>
          <w:marRight w:val="0"/>
          <w:marTop w:val="0"/>
          <w:marBottom w:val="160"/>
          <w:divBdr>
            <w:top w:val="none" w:sz="0" w:space="0" w:color="auto"/>
            <w:left w:val="none" w:sz="0" w:space="0" w:color="auto"/>
            <w:bottom w:val="none" w:sz="0" w:space="0" w:color="auto"/>
            <w:right w:val="none" w:sz="0" w:space="0" w:color="auto"/>
          </w:divBdr>
        </w:div>
        <w:div w:id="595986419">
          <w:marLeft w:val="0"/>
          <w:marRight w:val="0"/>
          <w:marTop w:val="0"/>
          <w:marBottom w:val="160"/>
          <w:divBdr>
            <w:top w:val="none" w:sz="0" w:space="0" w:color="auto"/>
            <w:left w:val="none" w:sz="0" w:space="0" w:color="auto"/>
            <w:bottom w:val="none" w:sz="0" w:space="0" w:color="auto"/>
            <w:right w:val="none" w:sz="0" w:space="0" w:color="auto"/>
          </w:divBdr>
        </w:div>
        <w:div w:id="728577074">
          <w:marLeft w:val="0"/>
          <w:marRight w:val="0"/>
          <w:marTop w:val="0"/>
          <w:marBottom w:val="160"/>
          <w:divBdr>
            <w:top w:val="none" w:sz="0" w:space="0" w:color="auto"/>
            <w:left w:val="none" w:sz="0" w:space="0" w:color="auto"/>
            <w:bottom w:val="none" w:sz="0" w:space="0" w:color="auto"/>
            <w:right w:val="none" w:sz="0" w:space="0" w:color="auto"/>
          </w:divBdr>
        </w:div>
        <w:div w:id="1165323973">
          <w:marLeft w:val="0"/>
          <w:marRight w:val="0"/>
          <w:marTop w:val="0"/>
          <w:marBottom w:val="160"/>
          <w:divBdr>
            <w:top w:val="none" w:sz="0" w:space="0" w:color="auto"/>
            <w:left w:val="none" w:sz="0" w:space="0" w:color="auto"/>
            <w:bottom w:val="none" w:sz="0" w:space="0" w:color="auto"/>
            <w:right w:val="none" w:sz="0" w:space="0" w:color="auto"/>
          </w:divBdr>
        </w:div>
        <w:div w:id="1047755049">
          <w:marLeft w:val="0"/>
          <w:marRight w:val="0"/>
          <w:marTop w:val="0"/>
          <w:marBottom w:val="160"/>
          <w:divBdr>
            <w:top w:val="none" w:sz="0" w:space="0" w:color="auto"/>
            <w:left w:val="none" w:sz="0" w:space="0" w:color="auto"/>
            <w:bottom w:val="none" w:sz="0" w:space="0" w:color="auto"/>
            <w:right w:val="none" w:sz="0" w:space="0" w:color="auto"/>
          </w:divBdr>
        </w:div>
        <w:div w:id="938952734">
          <w:marLeft w:val="0"/>
          <w:marRight w:val="0"/>
          <w:marTop w:val="0"/>
          <w:marBottom w:val="160"/>
          <w:divBdr>
            <w:top w:val="none" w:sz="0" w:space="0" w:color="auto"/>
            <w:left w:val="none" w:sz="0" w:space="0" w:color="auto"/>
            <w:bottom w:val="none" w:sz="0" w:space="0" w:color="auto"/>
            <w:right w:val="none" w:sz="0" w:space="0" w:color="auto"/>
          </w:divBdr>
        </w:div>
        <w:div w:id="1368721255">
          <w:marLeft w:val="0"/>
          <w:marRight w:val="0"/>
          <w:marTop w:val="0"/>
          <w:marBottom w:val="160"/>
          <w:divBdr>
            <w:top w:val="none" w:sz="0" w:space="0" w:color="auto"/>
            <w:left w:val="none" w:sz="0" w:space="0" w:color="auto"/>
            <w:bottom w:val="none" w:sz="0" w:space="0" w:color="auto"/>
            <w:right w:val="none" w:sz="0" w:space="0" w:color="auto"/>
          </w:divBdr>
        </w:div>
        <w:div w:id="2092116537">
          <w:marLeft w:val="0"/>
          <w:marRight w:val="0"/>
          <w:marTop w:val="0"/>
          <w:marBottom w:val="160"/>
          <w:divBdr>
            <w:top w:val="none" w:sz="0" w:space="0" w:color="auto"/>
            <w:left w:val="none" w:sz="0" w:space="0" w:color="auto"/>
            <w:bottom w:val="none" w:sz="0" w:space="0" w:color="auto"/>
            <w:right w:val="none" w:sz="0" w:space="0" w:color="auto"/>
          </w:divBdr>
        </w:div>
        <w:div w:id="283582903">
          <w:marLeft w:val="0"/>
          <w:marRight w:val="0"/>
          <w:marTop w:val="0"/>
          <w:marBottom w:val="160"/>
          <w:divBdr>
            <w:top w:val="none" w:sz="0" w:space="0" w:color="auto"/>
            <w:left w:val="none" w:sz="0" w:space="0" w:color="auto"/>
            <w:bottom w:val="none" w:sz="0" w:space="0" w:color="auto"/>
            <w:right w:val="none" w:sz="0" w:space="0" w:color="auto"/>
          </w:divBdr>
        </w:div>
        <w:div w:id="147066043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ok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okx.com" TargetMode="External"/><Relationship Id="rId5" Type="http://schemas.openxmlformats.org/officeDocument/2006/relationships/hyperlink" Target="https://www.okx.com/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sammehr2066@gmail.com</dc:creator>
  <cp:keywords/>
  <dc:description/>
  <cp:lastModifiedBy>sammehr2066@gmail.com</cp:lastModifiedBy>
  <cp:revision>3</cp:revision>
  <dcterms:created xsi:type="dcterms:W3CDTF">2025-06-20T09:48:00Z</dcterms:created>
  <dcterms:modified xsi:type="dcterms:W3CDTF">2025-06-20T13:57:00Z</dcterms:modified>
</cp:coreProperties>
</file>